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Inter" w:cs="Inter" w:eastAsia="Inter" w:hAnsi="Inter"/>
          <w:b w:val="1"/>
          <w:color w:val="0000ff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Tableau de l’activité P1C3 : </w: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325"/>
        <w:gridCol w:w="2310"/>
        <w:gridCol w:w="2370"/>
        <w:tblGridChange w:id="0">
          <w:tblGrid>
            <w:gridCol w:w="2235"/>
            <w:gridCol w:w="2325"/>
            <w:gridCol w:w="2310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Isolant naturel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Pourquoi ce choix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Avantages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Inconvénients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Laine de bois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Ouate de cellulose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Chanvre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Laine de verre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0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Laine de roche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Inter" w:cs="Inter" w:eastAsia="Inter" w:hAnsi="Inter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Fonts w:ascii="Montserrat" w:cs="Montserrat" w:eastAsia="Montserrat" w:hAnsi="Montserrat"/>
        <w:sz w:val="24"/>
        <w:szCs w:val="24"/>
      </w:rPr>
      <w:drawing>
        <wp:inline distB="114300" distT="114300" distL="114300" distR="114300">
          <wp:extent cx="2824163" cy="2111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4163" cy="21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color w:val="7550e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Montserrat" w:cs="Montserrat" w:eastAsia="Montserrat" w:hAnsi="Montserrat"/>
      <w:color w:val="99999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