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Rule="auto"/>
        <w:jc w:val="center"/>
        <w:rPr>
          <w:rFonts w:ascii="Inter" w:cs="Inter" w:eastAsia="Inter" w:hAnsi="Inter"/>
        </w:rPr>
      </w:pPr>
      <w:bookmarkStart w:colFirst="0" w:colLast="0" w:name="_kfbaa8ca0evg" w:id="0"/>
      <w:bookmarkEnd w:id="0"/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Contexte et Canevas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240" w:before="240" w:lineRule="auto"/>
        <w:jc w:val="both"/>
        <w:rPr>
          <w:rFonts w:ascii="Inter" w:cs="Inter" w:eastAsia="Inter" w:hAnsi="Inter"/>
        </w:rPr>
      </w:pPr>
      <w:bookmarkStart w:colFirst="0" w:colLast="0" w:name="_qrvp9nohe1ik" w:id="1"/>
      <w:bookmarkEnd w:id="1"/>
      <w:r w:rsidDel="00000000" w:rsidR="00000000" w:rsidRPr="00000000">
        <w:rPr>
          <w:rFonts w:ascii="Inter" w:cs="Inter" w:eastAsia="Inter" w:hAnsi="Inter"/>
          <w:rtl w:val="0"/>
        </w:rPr>
        <w:t xml:space="preserve">Contexte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-909637</wp:posOffset>
            </wp:positionH>
            <wp:positionV relativeFrom="paragraph">
              <wp:posOffset>273960</wp:posOffset>
            </wp:positionV>
            <wp:extent cx="7580401" cy="1292361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0401" cy="1292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40" w:before="240" w:lineRule="auto"/>
        <w:ind w:right="1399.1338582677172"/>
        <w:jc w:val="both"/>
        <w:rPr>
          <w:rFonts w:ascii="Inter" w:cs="Inter" w:eastAsia="Inter" w:hAnsi="Inter"/>
          <w:b w:val="1"/>
          <w:bCs w:val="1"/>
          <w:color w:val="222222"/>
          <w:sz w:val="34"/>
          <w:szCs w:val="34"/>
          <w:highlight w:val="white"/>
        </w:rPr>
      </w:pP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Le marché du conseil et de la transformation connaît une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mutation rapide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, portée par l’essor simultané de plusieurs leviers technologiques :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intelligence artificielle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,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cloud computing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et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cybersécurité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. Les organisations ne se contentent plus d’expérimenter : elles cherchent désormais à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industrialiser les cas d’usage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, notamment ceux liés à l’automatisation, à la donnée, et à l’amélioration de la performance opérationnelle.</w:t>
        <w:br w:type="textWrapping"/>
        <w:t xml:space="preserve"> Parmi les secteurs les plus moteurs,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l’industrie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(performance, automatisation, maintenance prédictive) et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la santé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(modernisation des parcours, sécurisation des données) se distinguent, créant une dynamique forte de projets structurants.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right="1399.1338582677172"/>
        <w:jc w:val="both"/>
        <w:rPr>
          <w:rFonts w:ascii="Inter" w:cs="Inter" w:eastAsia="Inter" w:hAnsi="Inter"/>
          <w:b w:val="1"/>
          <w:bCs w:val="1"/>
          <w:color w:val="222222"/>
          <w:sz w:val="34"/>
          <w:szCs w:val="34"/>
          <w:highlight w:val="white"/>
        </w:rPr>
      </w:pP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Les entreprises recherchent avant tout à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rester compétitives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dans un environnement en tension et en transformation continue. Elles cherchent à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optimiser leurs coûts, leurs processus internes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, et à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améliorer l’expérience utilisateur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sur l’ensemble des parcours digitaux.</w:t>
        <w:br w:type="textWrapping"/>
        <w:t xml:space="preserve"> Les besoins les plus fréquents concernent la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cybersécurité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(mise en conformité, protection des assets), l’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IA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(automatisation, analyse de données, copilotes métier) et la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refonte de parcours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digitaux, souvent contraintes par des systèmes historiques peu flexibles.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ind w:right="1399.1338582677172"/>
        <w:jc w:val="both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Face à cette demande, l’offre CDF combine une triple expertise 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240" w:lineRule="auto"/>
        <w:ind w:left="720" w:right="1399.1338582677172" w:hanging="360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Conseil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: stratégie, gouvernance de la donnée, transformation, conduite du changement.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right="1399.1338582677172" w:hanging="360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Technologie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: conception et intégration de plateformes, développement logiciel, modernisation d’applications.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Rule="auto"/>
        <w:ind w:left="720" w:right="1399.1338582677172" w:hanging="360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Accompagnement &amp; formation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: diffusion des pratiques agiles, montée en compétence des équipes, acculturation à la data et à l’IA.</w:t>
      </w:r>
    </w:p>
    <w:p w:rsidR="00000000" w:rsidDel="00000000" w:rsidP="00000000" w:rsidRDefault="00000000" w:rsidRPr="00000000" w14:paraId="00000009">
      <w:pPr>
        <w:spacing w:after="240" w:before="240" w:lineRule="auto"/>
        <w:ind w:right="1399.1338582677172"/>
        <w:jc w:val="both"/>
        <w:rPr>
          <w:rFonts w:ascii="Inter" w:cs="Inter" w:eastAsia="Inter" w:hAnsi="Inter"/>
          <w:b w:val="1"/>
          <w:bCs w:val="1"/>
          <w:color w:val="222222"/>
          <w:sz w:val="34"/>
          <w:szCs w:val="34"/>
          <w:highlight w:val="white"/>
        </w:rPr>
      </w:pP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CDF doit se positionner clairement face aux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grands cabinets généralistes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et aux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pure players technologiques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, en valorisant sa capacité à combiner conseil stratégique, exécution technique et accompagnement terrain. Des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alliances avec des partenaires spécialisés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(cloud, cyber, IA) permettent de proposer des solutions complètes et différenciantes.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ind w:right="1399.1338582677172"/>
        <w:jc w:val="both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L’environnement externe se complexifie sous l’effet de nouvelles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régulations autour de la donnée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 (comme le RGPD ou DORA dans le secteur financier), imposant des exigences accrues sur la sécurité, la qualité et la gouvernance des données.</w:t>
        <w:br w:type="textWrapping"/>
        <w:t xml:space="preserve"> Parallèlement, les organisations confrontées à la pénurie de talents doivent faire face à une </w:t>
      </w:r>
      <w:r w:rsidDel="00000000" w:rsidR="00000000" w:rsidRPr="00000000">
        <w:rPr>
          <w:rFonts w:ascii="Inter" w:cs="Inter" w:eastAsia="Inter" w:hAnsi="Inter"/>
          <w:b w:val="1"/>
          <w:bCs w:val="1"/>
          <w:color w:val="222222"/>
          <w:highlight w:val="white"/>
          <w:rtl w:val="0"/>
        </w:rPr>
        <w:t xml:space="preserve">évolution rapide des compétences</w:t>
      </w:r>
      <w:r w:rsidDel="00000000" w:rsidR="00000000" w:rsidRPr="00000000">
        <w:rPr>
          <w:rFonts w:ascii="Inter" w:cs="Inter" w:eastAsia="Inter" w:hAnsi="Inter"/>
          <w:color w:val="222222"/>
          <w:highlight w:val="white"/>
          <w:rtl w:val="0"/>
        </w:rPr>
        <w:t xml:space="preserve">, en particulier autour de l’IA, du cloud et de la cybersécurité.</w:t>
        <w:br w:type="textWrapping"/>
        <w:t xml:space="preserve"> Enfin, l’innovation technologique continue (IA générative, automatisation intelligente, architectures cloud natives) crée des opportunités, mais aussi une pression constante d’adaptation.</w:t>
      </w:r>
    </w:p>
    <w:p w:rsidR="00000000" w:rsidDel="00000000" w:rsidP="00000000" w:rsidRDefault="00000000" w:rsidRPr="00000000" w14:paraId="0000000B">
      <w:pPr>
        <w:pStyle w:val="Heading2"/>
        <w:spacing w:after="240" w:before="240" w:lineRule="auto"/>
        <w:jc w:val="both"/>
        <w:rPr>
          <w:rFonts w:ascii="Inter" w:cs="Inter" w:eastAsia="Inter" w:hAnsi="Inter"/>
        </w:rPr>
      </w:pPr>
      <w:bookmarkStart w:colFirst="0" w:colLast="0" w:name="_51xite6wqslb" w:id="2"/>
      <w:bookmarkEnd w:id="2"/>
      <w:r w:rsidDel="00000000" w:rsidR="00000000" w:rsidRPr="00000000">
        <w:rPr>
          <w:rFonts w:ascii="Inter" w:cs="Inter" w:eastAsia="Inter" w:hAnsi="Inter"/>
          <w:rtl w:val="0"/>
        </w:rPr>
        <w:t xml:space="preserve">Canevas à completer</w:t>
      </w:r>
    </w:p>
    <w:tbl>
      <w:tblPr>
        <w:tblStyle w:val="Table1"/>
        <w:tblW w:w="10530.0" w:type="dxa"/>
        <w:jc w:val="left"/>
        <w:tblInd w:w="-568.46456692913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20"/>
        <w:gridCol w:w="5610"/>
        <w:tblGridChange w:id="0">
          <w:tblGrid>
            <w:gridCol w:w="4920"/>
            <w:gridCol w:w="5610"/>
          </w:tblGrid>
        </w:tblGridChange>
      </w:tblGrid>
      <w:tr>
        <w:trPr>
          <w:cantSplit w:val="0"/>
          <w:trHeight w:val="1525.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Marché (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tendances clés / secteurs moteurs)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Offre (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types d’acteurs et positionnement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</w:tc>
      </w:tr>
      <w:tr>
        <w:trPr>
          <w:cantSplit w:val="0"/>
          <w:trHeight w:val="1262.356788162097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Environnement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Demande (</w:t>
            </w: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problèmes clients typiques)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</w:tc>
      </w:tr>
      <w:tr>
        <w:trPr>
          <w:cantSplit w:val="0"/>
          <w:trHeight w:val="998.75654507419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Opportunités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Menaces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Inter" w:cs="Inter" w:eastAsia="Inter" w:hAnsi="Inter"/>
                <w:color w:val="222222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highlight w:val="white"/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022">
      <w:pPr>
        <w:spacing w:after="220" w:lineRule="auto"/>
        <w:ind w:left="-283.46456692913375" w:right="1115.6692913385832" w:firstLine="0"/>
        <w:jc w:val="both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1682.5984251968516"/>
        <w:jc w:val="both"/>
        <w:rPr>
          <w:rFonts w:ascii="Inter" w:cs="Inter" w:eastAsia="Inter" w:hAnsi="Inter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20" w:lineRule="auto"/>
        <w:ind w:left="-283.46456692913375" w:right="1115.6692913385832" w:firstLine="0"/>
        <w:jc w:val="both"/>
        <w:rPr>
          <w:rFonts w:ascii="Inter" w:cs="Inter" w:eastAsia="Inter" w:hAnsi="Inter"/>
          <w:color w:val="222222"/>
          <w:shd w:fill="fce5cd" w:val="clea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0" w:header="164.40944881889763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ind w:right="1399.1338582677172"/>
      <w:jc w:val="left"/>
      <w:rPr>
        <w:rFonts w:ascii="Inter" w:cs="Inter" w:eastAsia="Inter" w:hAnsi="Inter"/>
        <w:sz w:val="16"/>
        <w:szCs w:val="16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ind w:left="-1133.8582677165355" w:right="-1440" w:hanging="283.4645669291339"/>
      <w:rPr>
        <w:rFonts w:ascii="Inter" w:cs="Inter" w:eastAsia="Inter" w:hAnsi="Inter"/>
      </w:rPr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5634038</wp:posOffset>
          </wp:positionH>
          <wp:positionV relativeFrom="page">
            <wp:posOffset>-47999</wp:posOffset>
          </wp:positionV>
          <wp:extent cx="1947863" cy="127754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Inter" w:cs="Inter" w:eastAsia="Inter" w:hAnsi="Inter"/>
      </w:rPr>
      <w:drawing>
        <wp:inline distB="114300" distT="114300" distL="114300" distR="114300">
          <wp:extent cx="2833688" cy="419100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Inter" w:cs="Inter" w:eastAsia="Inter" w:hAnsi="Inter"/>
        <w:rtl w:val="0"/>
      </w:rPr>
      <w:t xml:space="preserve">                                                                            </w:t>
    </w:r>
  </w:p>
  <w:p w:rsidR="00000000" w:rsidDel="00000000" w:rsidP="00000000" w:rsidRDefault="00000000" w:rsidRPr="00000000" w14:paraId="00000026">
    <w:pPr>
      <w:ind w:left="-1133.8582677165355" w:right="-1440" w:firstLine="0"/>
      <w:rPr>
        <w:rFonts w:ascii="Inter" w:cs="Inter" w:eastAsia="Inter" w:hAnsi="Inter"/>
        <w:color w:val="222222"/>
      </w:rPr>
    </w:pPr>
    <w:r w:rsidDel="00000000" w:rsidR="00000000" w:rsidRPr="00000000">
      <w:rPr>
        <w:rFonts w:ascii="Inter" w:cs="Inter" w:eastAsia="Inter" w:hAnsi="Inter"/>
        <w:rtl w:val="0"/>
      </w:rPr>
      <w:tab/>
      <w:tab/>
      <w:tab/>
      <w:tab/>
      <w:tab/>
      <w:t xml:space="preserve">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left="-1133.8582677165355" w:right="-1440" w:firstLine="0"/>
      <w:rPr>
        <w:rFonts w:ascii="Inter" w:cs="Inter" w:eastAsia="Inter" w:hAnsi="Inter"/>
        <w:sz w:val="20"/>
        <w:szCs w:val="20"/>
      </w:rPr>
    </w:pPr>
    <w:r w:rsidDel="00000000" w:rsidR="00000000" w:rsidRPr="00000000">
      <w:rPr>
        <w:rFonts w:ascii="Inter" w:cs="Inter" w:eastAsia="Inter" w:hAnsi="Inter"/>
        <w:rtl w:val="0"/>
      </w:rPr>
      <w:t xml:space="preserve">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